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požadavky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</w:t>
      </w:r>
      <w:proofErr w:type="gramStart"/>
      <w:r w:rsidR="00C27F45">
        <w:t>SLA</w:t>
      </w:r>
      <w:proofErr w:type="gramEnd"/>
      <w:r w:rsidR="00A73513">
        <w:t xml:space="preserve">– </w:t>
      </w:r>
      <w:proofErr w:type="gramStart"/>
      <w:r w:rsidR="00A73513">
        <w:t>Realizační</w:t>
      </w:r>
      <w:proofErr w:type="gramEnd"/>
      <w:r w:rsidR="00A73513">
        <w:t xml:space="preserve"> tým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Brue-ray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pásky, apod.) Objednatele, pořizovat jeho kopie, nebo je připojovat k zařízením, které nejsou ve správě a majetku Objednatele. 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</w:t>
      </w:r>
      <w:r w:rsidR="00C27F45">
        <w:t xml:space="preserve"> SLA</w:t>
      </w:r>
      <w:r w:rsidR="00A73513">
        <w:t xml:space="preserve"> – Realizační tým ve všech podporovaných aplikacích </w:t>
      </w:r>
      <w:r w:rsidR="00D73C8B">
        <w:t xml:space="preserve">uvedených v příloze </w:t>
      </w:r>
      <w:r w:rsidR="00C27F45">
        <w:t>č</w:t>
      </w:r>
      <w:r w:rsidR="00D73C8B">
        <w:t xml:space="preserve">. 3 </w:t>
      </w:r>
      <w:r w:rsidR="00C27F45">
        <w:t xml:space="preserve">SLA </w:t>
      </w:r>
      <w:r w:rsidR="00D73C8B">
        <w:t xml:space="preserve">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Hesla k účtům, kterým jsou v prostředí Objednatele přidělena administrátorská oprávnění, musí být vytvořena v souladu s následujícími pravidly: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</w:t>
      </w:r>
      <w:r w:rsidR="000B1BBD">
        <w:t> </w:t>
      </w:r>
      <w:proofErr w:type="gramStart"/>
      <w:r w:rsidR="000B1BBD">
        <w:t xml:space="preserve">zapsaných </w:t>
      </w:r>
      <w:r w:rsidRPr="004B6580">
        <w:t xml:space="preserve"> zavazadlech</w:t>
      </w:r>
      <w:proofErr w:type="gramEnd"/>
      <w:r w:rsidRPr="004B6580">
        <w:t xml:space="preserve"> uskladněných v přepravním prostoru letadel. Pokud to bezpečnostní pravidla leteckých přepravců nevylučují, musí být informační aktiva Objednatele přepravována na palubě letadel.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 xml:space="preserve">na úložišti, ke kterému je přístup </w:t>
      </w:r>
      <w:proofErr w:type="gramStart"/>
      <w:r w:rsidR="00046AC0">
        <w:t>šifrován.</w:t>
      </w:r>
      <w:r w:rsidRPr="004B6580">
        <w:t>.</w:t>
      </w:r>
      <w:proofErr w:type="gramEnd"/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jenž hrubě zasahuje do práv jednotlivce a zobrazuje jej dehonestujícím způsobem, apod.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připojení, apod.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i v případě (podezření ze) ztráty svěřeného informačního aktiva (např. přístupové karty, hesla, certifikátu, apod.) a/ nebo (podezření z) narušení bezpečnosti prostředí Objednatele.</w:t>
      </w:r>
    </w:p>
    <w:p w:rsidR="004B6580" w:rsidRPr="004B6580" w:rsidRDefault="004B6580" w:rsidP="004B6580"/>
    <w:p w:rsidR="00DD0D3C" w:rsidRDefault="00DD0D3C" w:rsidP="00DD0D3C">
      <w:pPr>
        <w:rPr>
          <w:rFonts w:cs="Arial"/>
          <w:b/>
          <w:i/>
          <w:szCs w:val="22"/>
        </w:rPr>
      </w:pPr>
    </w:p>
    <w:p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07" w:rsidRDefault="009E3907" w:rsidP="00B45E24">
      <w:r>
        <w:separator/>
      </w:r>
    </w:p>
  </w:endnote>
  <w:endnote w:type="continuationSeparator" w:id="0">
    <w:p w:rsidR="009E3907" w:rsidRDefault="009E3907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07" w:rsidRDefault="009E3907" w:rsidP="00B45E24">
      <w:r>
        <w:separator/>
      </w:r>
    </w:p>
  </w:footnote>
  <w:footnote w:type="continuationSeparator" w:id="0">
    <w:p w:rsidR="009E3907" w:rsidRDefault="009E3907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CA1194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CA1194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</w:p>
  <w:p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5C7643">
      <w:rPr>
        <w:rStyle w:val="slostrnky"/>
        <w:sz w:val="16"/>
        <w:szCs w:val="16"/>
      </w:rPr>
      <w:t>.</w:t>
    </w:r>
    <w:r w:rsidR="00B211D8">
      <w:rPr>
        <w:rStyle w:val="slostrnky"/>
        <w:sz w:val="16"/>
        <w:szCs w:val="16"/>
      </w:rPr>
      <w:t xml:space="preserve">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845B72">
      <w:rPr>
        <w:sz w:val="16"/>
        <w:szCs w:val="16"/>
      </w:rPr>
      <w:t xml:space="preserve"> </w:t>
    </w:r>
    <w:r w:rsidR="00081BBA">
      <w:rPr>
        <w:sz w:val="16"/>
        <w:szCs w:val="16"/>
      </w:rPr>
      <w:t>MPDS</w:t>
    </w:r>
    <w:r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6AC0"/>
    <w:rsid w:val="00081BBA"/>
    <w:rsid w:val="000B1BBD"/>
    <w:rsid w:val="00111B4B"/>
    <w:rsid w:val="00132FFC"/>
    <w:rsid w:val="002058AE"/>
    <w:rsid w:val="00210B74"/>
    <w:rsid w:val="0022653F"/>
    <w:rsid w:val="002C70F0"/>
    <w:rsid w:val="00312E29"/>
    <w:rsid w:val="004064C3"/>
    <w:rsid w:val="004625EF"/>
    <w:rsid w:val="004B6580"/>
    <w:rsid w:val="00591E44"/>
    <w:rsid w:val="005C7643"/>
    <w:rsid w:val="00613D38"/>
    <w:rsid w:val="006432CE"/>
    <w:rsid w:val="007A5E06"/>
    <w:rsid w:val="007C214D"/>
    <w:rsid w:val="00845B72"/>
    <w:rsid w:val="00944F8C"/>
    <w:rsid w:val="009D2CC8"/>
    <w:rsid w:val="009E3907"/>
    <w:rsid w:val="00A24318"/>
    <w:rsid w:val="00A36BBF"/>
    <w:rsid w:val="00A73513"/>
    <w:rsid w:val="00B211D8"/>
    <w:rsid w:val="00B45E24"/>
    <w:rsid w:val="00C2185D"/>
    <w:rsid w:val="00C27F45"/>
    <w:rsid w:val="00C5388E"/>
    <w:rsid w:val="00CA1194"/>
    <w:rsid w:val="00D40209"/>
    <w:rsid w:val="00D45355"/>
    <w:rsid w:val="00D67DC5"/>
    <w:rsid w:val="00D73C8B"/>
    <w:rsid w:val="00D82893"/>
    <w:rsid w:val="00DC2657"/>
    <w:rsid w:val="00DD0D3C"/>
    <w:rsid w:val="00EF52E5"/>
    <w:rsid w:val="00F15089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341DB-231F-4205-A26B-202DF30C91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DF800A-3E00-4579-BEFB-E33CFE3FD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357241-4414-4D70-9351-8FB2983D53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9901C6-32F7-4D78-9FDF-24C86A1C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7</Pages>
  <Words>2725</Words>
  <Characters>16080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23</cp:revision>
  <dcterms:created xsi:type="dcterms:W3CDTF">2019-01-18T15:09:00Z</dcterms:created>
  <dcterms:modified xsi:type="dcterms:W3CDTF">2021-02-16T09:20:00Z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